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ind w:left="0" w:firstLine="720"/>
        <w:jc w:val="both"/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19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января</w:t>
      </w:r>
      <w:r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 xml:space="preserve">23</w:t>
      </w:r>
      <w:r>
        <w:rPr>
          <w:b/>
          <w:bCs/>
          <w:sz w:val="26"/>
          <w:szCs w:val="26"/>
        </w:rPr>
        <w:t xml:space="preserve"> года департамент здравоохранения Костромской</w:t>
      </w:r>
      <w:r>
        <w:rPr>
          <w:b/>
          <w:bCs/>
          <w:sz w:val="26"/>
          <w:szCs w:val="26"/>
        </w:rPr>
        <w:br/>
        <w:t xml:space="preserve">области </w:t>
      </w:r>
      <w:r>
        <w:rPr>
          <w:sz w:val="26"/>
          <w:szCs w:val="26"/>
        </w:rPr>
        <w:t xml:space="preserve">(156029,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Кострома, ул. Свердлова, 129, тел. (4942) 31-25-57)</w:t>
      </w:r>
      <w:r>
        <w:rPr>
          <w:sz w:val="26"/>
          <w:szCs w:val="26"/>
        </w:rPr>
        <w:br/>
        <w:t xml:space="preserve">сообщает о проведении конкурса </w:t>
      </w:r>
      <w:r/>
      <w:r>
        <w:rPr>
          <w:sz w:val="26"/>
          <w:szCs w:val="26"/>
        </w:rPr>
        <w:t xml:space="preserve">на включение </w:t>
      </w:r>
      <w:r>
        <w:rPr>
          <w:sz w:val="26"/>
          <w:szCs w:val="26"/>
        </w:rPr>
        <w:t xml:space="preserve">в кадровый резерв на должности </w:t>
      </w:r>
      <w:r>
        <w:rPr>
          <w:sz w:val="26"/>
          <w:szCs w:val="26"/>
        </w:rPr>
        <w:t xml:space="preserve">государственной гражданской службы Костромской области:</w:t>
      </w:r>
      <w:r/>
      <w:r>
        <w:rPr>
          <w:sz w:val="26"/>
          <w:szCs w:val="26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615"/>
        <w:gridCol w:w="390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/>
          </w:p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вакантной должности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требования к уровню образования и направлению подготовки (специальности)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требования к стажу гражданской службы или стажу (опыту) работы по специальности, направлению подготовки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pStyle w:val="6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анализа, прогнозирования и реализации программ развития здравоохранения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5" w:type="dxa"/>
            <w:textDirection w:val="lrTb"/>
            <w:noWrap w:val="false"/>
          </w:tcPr>
          <w:p>
            <w:pPr>
              <w:pStyle w:val="642"/>
              <w:ind w:left="10" w:hanging="10"/>
              <w:spacing w:line="274" w:lineRule="exact"/>
              <w:widowControl/>
              <w:rPr>
                <w:sz w:val="26"/>
                <w:szCs w:val="26"/>
                <w:lang w:eastAsia="en-US" w:bidi="en-US"/>
              </w:rPr>
            </w:pPr>
            <w:r>
              <w:rPr>
                <w:rStyle w:val="640"/>
                <w:sz w:val="26"/>
                <w:szCs w:val="26"/>
              </w:rPr>
              <w:t xml:space="preserve">Высшее образование (</w:t>
            </w:r>
            <w:r>
              <w:rPr>
                <w:sz w:val="26"/>
                <w:szCs w:val="26"/>
                <w:lang w:eastAsia="en-US" w:bidi="en-US"/>
              </w:rPr>
              <w:t xml:space="preserve">«Экономика и управление», «Юриспруденция»)</w:t>
            </w:r>
            <w:r/>
          </w:p>
          <w:p>
            <w:pPr>
              <w:pStyle w:val="641"/>
              <w:ind w:left="14" w:hanging="14"/>
              <w:spacing w:line="274" w:lineRule="exact"/>
              <w:widowControl/>
              <w:rPr>
                <w:rStyle w:val="640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0" w:type="dxa"/>
            <w:textDirection w:val="lrTb"/>
            <w:noWrap w:val="false"/>
          </w:tcPr>
          <w:p>
            <w:pPr>
              <w:pStyle w:val="642"/>
              <w:ind w:left="10" w:hanging="10"/>
              <w:spacing w:line="274" w:lineRule="exact"/>
              <w:widowControl/>
              <w:rPr>
                <w:rStyle w:val="640"/>
                <w:sz w:val="26"/>
                <w:szCs w:val="26"/>
              </w:rPr>
            </w:pPr>
            <w:r>
              <w:rPr>
                <w:rStyle w:val="640"/>
                <w:sz w:val="26"/>
                <w:szCs w:val="26"/>
              </w:rPr>
              <w:t xml:space="preserve">Требования </w:t>
            </w:r>
            <w:r>
              <w:rPr>
                <w:sz w:val="26"/>
                <w:szCs w:val="26"/>
              </w:rPr>
              <w:t xml:space="preserve">к наличию стажа </w:t>
            </w:r>
            <w:r>
              <w:rPr>
                <w:rStyle w:val="640"/>
                <w:sz w:val="26"/>
                <w:szCs w:val="26"/>
              </w:rPr>
              <w:t xml:space="preserve">не предъявляются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0" w:type="dxa"/>
            <w:textDirection w:val="lrTb"/>
            <w:noWrap w:val="false"/>
          </w:tcPr>
          <w:p>
            <w:pPr>
              <w:pStyle w:val="6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специалист-эксперт отдела финансово-экономической деятельности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15" w:type="dxa"/>
            <w:textDirection w:val="lrTb"/>
            <w:noWrap w:val="false"/>
          </w:tcPr>
          <w:p>
            <w:pPr>
              <w:pStyle w:val="641"/>
              <w:ind w:left="14" w:hanging="14"/>
              <w:spacing w:line="274" w:lineRule="exact"/>
              <w:widowControl/>
              <w:rPr>
                <w:rStyle w:val="640"/>
                <w:color w:val="ff0000"/>
                <w:sz w:val="26"/>
                <w:szCs w:val="26"/>
              </w:rPr>
            </w:pPr>
            <w:r>
              <w:rPr>
                <w:rStyle w:val="640"/>
                <w:sz w:val="26"/>
                <w:szCs w:val="26"/>
              </w:rPr>
              <w:t xml:space="preserve">Высшее образование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0" w:type="dxa"/>
            <w:textDirection w:val="lrTb"/>
            <w:noWrap w:val="false"/>
          </w:tcPr>
          <w:p>
            <w:pPr>
              <w:pStyle w:val="642"/>
              <w:ind w:left="10" w:hanging="10"/>
              <w:spacing w:line="274" w:lineRule="exact"/>
              <w:widowControl/>
              <w:rPr>
                <w:rStyle w:val="640"/>
                <w:color w:val="ff0000"/>
                <w:sz w:val="26"/>
                <w:szCs w:val="26"/>
              </w:rPr>
            </w:pPr>
            <w:r>
              <w:rPr>
                <w:rStyle w:val="640"/>
                <w:sz w:val="26"/>
                <w:szCs w:val="26"/>
              </w:rPr>
              <w:t xml:space="preserve">Требования </w:t>
            </w:r>
            <w:r>
              <w:rPr>
                <w:sz w:val="26"/>
                <w:szCs w:val="26"/>
              </w:rPr>
              <w:t xml:space="preserve">к наличию стажа </w:t>
            </w:r>
            <w:r>
              <w:rPr>
                <w:rStyle w:val="640"/>
                <w:sz w:val="26"/>
                <w:szCs w:val="26"/>
              </w:rPr>
              <w:t xml:space="preserve">не предъявляются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</w:t>
      </w:r>
      <w:r>
        <w:rPr>
          <w:sz w:val="28"/>
          <w:szCs w:val="28"/>
        </w:rPr>
        <w:t xml:space="preserve">Квалификационные требования к базовым и профессионально-функциональным знаниям и умениям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начальника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анализа, прогнозирования и реализации программ развития здравоохранения: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6"/>
        <w:gridCol w:w="3599"/>
        <w:gridCol w:w="3796"/>
      </w:tblGrid>
      <w:tr>
        <w:trPr/>
        <w:tc>
          <w:tcPr>
            <w:shd w:val="clear" w:color="auto" w:fill="auto"/>
            <w:tcW w:w="2376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Базовые</w:t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государственного языка Российской Федерации (русского языка).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мыслить стратегически (системно).</w:t>
            </w:r>
            <w:r/>
          </w:p>
          <w:p>
            <w:pPr>
              <w:ind w:firstLine="709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основ: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Конституции Российской Федерации;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25 декабря 2008 года № 273-ФЗ «О противодействии коррупции»;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21.11.2011 года № 323-ФЗ «Об основах охраны здоровья граждан в Российской Федерации»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планировать и рационально использовать служебное время и достигать результата;</w:t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коммуникативные умения;</w:t>
            </w:r>
            <w:r/>
          </w:p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умение управлять изменениями;</w:t>
            </w:r>
            <w:r/>
          </w:p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умения в области информационно-коммуникационных технологий.</w:t>
            </w:r>
            <w:r/>
          </w:p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Управленческие</w:t>
            </w:r>
            <w:r/>
          </w:p>
        </w:tc>
      </w:tr>
      <w:tr>
        <w:trPr>
          <w:trHeight w:val="1482"/>
        </w:trPr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умение эффективно планировать и организовывать работу.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1"/>
        <w:gridCol w:w="3439"/>
        <w:gridCol w:w="3601"/>
      </w:tblGrid>
      <w:tr>
        <w:trPr/>
        <w:tc>
          <w:tcPr>
            <w:shd w:val="clear" w:color="auto" w:fill="auto"/>
            <w:tcW w:w="25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Профессиональные</w:t>
            </w:r>
            <w:r/>
          </w:p>
        </w:tc>
        <w:tc>
          <w:tcPr>
            <w:shd w:val="clear" w:color="auto" w:fill="auto"/>
            <w:tcW w:w="3439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3601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53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3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567" w:leader="none"/>
                <w:tab w:val="left" w:pos="1418" w:leader="none"/>
              </w:tabs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знания нормативно-правовых актов, содержащихся в должностном регламенте государственного гражданского служащего</w:t>
            </w:r>
            <w:r/>
          </w:p>
        </w:tc>
        <w:tc>
          <w:tcPr>
            <w:shd w:val="clear" w:color="auto" w:fill="auto"/>
            <w:tcW w:w="3601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работа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ведение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статистико-аналитической базы по основным параметрам бюджетной системы, 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подготовка долгосрочных финансовых, макроэкономических и иных прогнозов</w:t>
            </w:r>
            <w:r>
              <w:rPr>
                <w:rFonts w:eastAsia="Calibri"/>
                <w:sz w:val="26"/>
                <w:szCs w:val="26"/>
              </w:rPr>
              <w:t xml:space="preserve">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анализ основных показателей реализации приоритетных проектов и программ в сфере здравоохранения;</w:t>
            </w:r>
            <w:r/>
          </w:p>
          <w:p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анализ основных </w:t>
            </w:r>
            <w:r>
              <w:rPr>
                <w:rFonts w:eastAsia="Calibri"/>
                <w:sz w:val="26"/>
                <w:szCs w:val="26"/>
              </w:rPr>
              <w:t xml:space="preserve">показателей реализации территориальной программы государственных гарантий оказания бесплатной медицинской помощи</w:t>
            </w:r>
            <w:r>
              <w:rPr>
                <w:rFonts w:eastAsia="Calibri"/>
                <w:sz w:val="26"/>
                <w:szCs w:val="26"/>
              </w:rPr>
              <w:t xml:space="preserve"> гражданам Российской Федерации</w:t>
            </w:r>
            <w:r>
              <w:rPr>
                <w:rFonts w:eastAsia="Calibri"/>
                <w:sz w:val="26"/>
                <w:szCs w:val="26"/>
              </w:rPr>
              <w:t xml:space="preserve">.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53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39" w:type="dxa"/>
            <w:textDirection w:val="lrTb"/>
            <w:noWrap w:val="false"/>
          </w:tcPr>
          <w:p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иные профессиональные знания</w:t>
            </w:r>
            <w:r/>
          </w:p>
        </w:tc>
        <w:tc>
          <w:tcPr>
            <w:shd w:val="clear" w:color="auto" w:fill="auto"/>
            <w:tcW w:w="360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53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39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понятие бюджета и его социально-экономическая роль в обществе;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бюджетная система Российской Федерации;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понятие и состав бюджетной классификации;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правила юридической </w:t>
            </w:r>
            <w:r>
              <w:rPr>
                <w:rFonts w:eastAsia="Calibri"/>
                <w:sz w:val="26"/>
                <w:szCs w:val="26"/>
              </w:rPr>
              <w:t xml:space="preserve">техники формирования нормативных правовых актов;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направления и приоритеты бюджетной политики в сфере здравоохранения и обязательного медицинского страхования;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обязательного  медицинского страхования в Российской Федерации;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 методы </w:t>
            </w:r>
            <w:r>
              <w:rPr>
                <w:sz w:val="26"/>
                <w:szCs w:val="26"/>
              </w:rPr>
              <w:t xml:space="preserve">формирования федерального и областного бюджетов в части государственной программы Российской Федерации «Развитие здравоохранения»»;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 структура расходов федерального и областного бюджетов в части здравоохранения;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бюджетной классификации, по которым отражаются расходы на здравоохранение;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теория государства и права, конституционного права, административного права, бюджетного и трудового права;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основы экономической теории;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 xml:space="preserve">долгосрочное планирование, оценка и прогнозирование финансовых и макроэкономических рисков, макроэкономических показателей в рамках бюджетного процесса;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</w:t>
            </w:r>
            <w:r>
              <w:rPr>
                <w:sz w:val="26"/>
                <w:szCs w:val="26"/>
              </w:rPr>
              <w:t xml:space="preserve">направления бюджетной </w:t>
            </w:r>
            <w:r>
              <w:rPr>
                <w:sz w:val="26"/>
                <w:szCs w:val="26"/>
              </w:rPr>
              <w:t xml:space="preserve">политики на</w:t>
            </w:r>
            <w:r>
              <w:rPr>
                <w:sz w:val="26"/>
                <w:szCs w:val="26"/>
              </w:rPr>
              <w:t xml:space="preserve"> текущий год и плановый период;</w:t>
            </w:r>
            <w:r/>
          </w:p>
          <w:p>
            <w:pPr>
              <w:ind w:firstLine="709"/>
              <w:jc w:val="both"/>
              <w:widowControl w:val="off"/>
              <w:tabs>
                <w:tab w:val="left" w:pos="0" w:leader="none"/>
                <w:tab w:val="left" w:pos="6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направления и приоритеты государственной политики в области долгосрочной бюджетной политики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 xml:space="preserve"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знание основных направлений и приоритетов государственной политики в сфере некоммерческих организаций</w:t>
            </w:r>
            <w:r>
              <w:rPr>
                <w:rFonts w:eastAsia="Calibri"/>
                <w:sz w:val="26"/>
                <w:szCs w:val="26"/>
              </w:rPr>
              <w:t xml:space="preserve">.</w:t>
            </w:r>
            <w:r/>
          </w:p>
        </w:tc>
        <w:tc>
          <w:tcPr>
            <w:shd w:val="clear" w:color="auto" w:fill="auto"/>
            <w:tcW w:w="360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6"/>
        <w:gridCol w:w="3516"/>
        <w:gridCol w:w="3689"/>
      </w:tblGrid>
      <w:tr>
        <w:trPr/>
        <w:tc>
          <w:tcPr>
            <w:shd w:val="clear" w:color="auto" w:fill="auto"/>
            <w:tcW w:w="2366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Функциональные</w:t>
            </w:r>
            <w:r/>
          </w:p>
        </w:tc>
        <w:tc>
          <w:tcPr>
            <w:shd w:val="clear" w:color="auto" w:fill="auto"/>
            <w:tcW w:w="3516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3689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36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516" w:type="dxa"/>
            <w:textDirection w:val="lrTb"/>
            <w:noWrap w:val="false"/>
          </w:tcPr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понятие нормы права,  нормативного правового акта, правоотношений и их признаки;</w:t>
            </w:r>
            <w:r/>
          </w:p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проекта нормативного правового акта, инструменты и этапы его разработки;</w:t>
            </w:r>
            <w:r/>
          </w:p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официального отзыва на проекты нормативных правовых актов: этапы, ключевые принципы и технологии разработки;</w:t>
            </w:r>
            <w:r/>
          </w:p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классификация моделей государственной политики;</w:t>
            </w:r>
            <w:r/>
          </w:p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задачи, сроки, ресурсы и инструменты государственной политики;</w:t>
            </w:r>
            <w:r/>
          </w:p>
          <w:p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государственной программы;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понятие, процедура рассмотрения обращений граждан;</w:t>
            </w:r>
            <w:r/>
          </w:p>
          <w:p>
            <w:pPr>
              <w:pStyle w:val="65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функции и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учредителя подведомственных организаций.</w:t>
            </w:r>
            <w:r/>
          </w:p>
        </w:tc>
        <w:tc>
          <w:tcPr>
            <w:shd w:val="clear" w:color="auto" w:fill="auto"/>
            <w:tcW w:w="3689" w:type="dxa"/>
            <w:textDirection w:val="lrTb"/>
            <w:noWrap w:val="false"/>
          </w:tcPr>
          <w:p>
            <w:pPr>
              <w:contextualSpacing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разработка, рассмотрение и согласование проектов нормативных правовых актов и других документов;</w:t>
            </w:r>
            <w:r/>
          </w:p>
          <w:p>
            <w:pPr>
              <w:contextualSpacing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официальных отзывов на проекты нормативных правовых актов;</w:t>
            </w:r>
            <w:r/>
          </w:p>
          <w:p>
            <w:pPr>
              <w:contextualSpacing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методических рекомендаций, разъяснений;</w:t>
            </w:r>
            <w:r/>
          </w:p>
          <w:p>
            <w:pPr>
              <w:contextualSpacing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аналитических, информационных и других материалов;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мониторинга применения законодательства;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телефонных разговоров;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подготовки разъяснений гражданам и организациям.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</w:rPr>
        <w:t xml:space="preserve"> </w:t>
      </w:r>
      <w:r>
        <w:rPr>
          <w:sz w:val="28"/>
          <w:szCs w:val="28"/>
        </w:rPr>
        <w:t xml:space="preserve">Квалификационные требования к базовым и профессионально-функциональным знаниям и умениям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лавного специалиста-эксперта отдела финансово-экономической деятельности</w:t>
      </w:r>
      <w:r>
        <w:rPr>
          <w:sz w:val="26"/>
          <w:szCs w:val="26"/>
        </w:rPr>
        <w:t xml:space="preserve">: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6"/>
        <w:gridCol w:w="3599"/>
        <w:gridCol w:w="3796"/>
      </w:tblGrid>
      <w:tr>
        <w:trPr/>
        <w:tc>
          <w:tcPr>
            <w:shd w:val="clear" w:color="auto" w:fill="auto"/>
            <w:tcW w:w="2376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Базовые</w:t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государственного языка Российской Федерации (русского языка).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мыслить стратегически (системно).</w:t>
            </w:r>
            <w:r/>
          </w:p>
          <w:p>
            <w:pPr>
              <w:ind w:firstLine="709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знание основ: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Конституции Российской Федерации;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27 мая 2003 года № 58-ФЗ                                                     «О системе государственной службы Российской Федерации»;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27 июля 2004 года № 79-ФЗ                          «О государственной гражданской службе Российской Федерации»;</w:t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Федерального закона от 25 декабря 2008 года № 273-ФЗ «О противодействии коррупции»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планировать и рационально использовать служебное время и достигать результата;</w:t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коммуникативные умения;</w:t>
            </w:r>
            <w:r/>
          </w:p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умение управлять изменениями;</w:t>
            </w:r>
            <w:r/>
          </w:p>
          <w:p>
            <w:pPr>
              <w:jc w:val="both"/>
              <w:widowControl w:val="o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умения в области информационно-коммуникационных технологий.</w:t>
            </w:r>
            <w:r/>
          </w:p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Управленческие</w:t>
            </w:r>
            <w:r/>
          </w:p>
        </w:tc>
      </w:tr>
      <w:tr>
        <w:trPr>
          <w:trHeight w:val="1482"/>
        </w:trPr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умение эффективно планировать и организовывать работу.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1"/>
        <w:gridCol w:w="3447"/>
        <w:gridCol w:w="3593"/>
      </w:tblGrid>
      <w:tr>
        <w:trPr/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Профессиональные</w:t>
            </w:r>
            <w:r/>
          </w:p>
        </w:tc>
        <w:tc>
          <w:tcPr>
            <w:shd w:val="clear" w:color="auto" w:fill="auto"/>
            <w:tcW w:w="348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3671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83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567" w:leader="none"/>
                <w:tab w:val="left" w:pos="141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служащего. </w:t>
            </w:r>
            <w:r/>
          </w:p>
        </w:tc>
        <w:tc>
          <w:tcPr>
            <w:shd w:val="clear" w:color="auto" w:fill="auto"/>
            <w:tcW w:w="3671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83" w:type="dxa"/>
            <w:textDirection w:val="lrTb"/>
            <w:noWrap w:val="false"/>
          </w:tcPr>
          <w:p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иные профессиональные знания</w:t>
            </w:r>
            <w:r/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483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направления и приоритеты бюджетной политики в сфере здравоохранения и обязательного медицинского страхования; 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методы формирования областного бюджета в части </w:t>
            </w:r>
            <w:r>
              <w:rPr>
                <w:sz w:val="26"/>
                <w:szCs w:val="26"/>
              </w:rPr>
              <w:t xml:space="preserve">государственной программы Российской Федерации «Развитие здравоохранения»; 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структура расходов областного бюджета в части здравоохранения; 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показатели бюджетной классификации, по которым отражаются расходы на здравоохранение; 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формирования государственного задания в отношении областных государственных учреждений здравоохранения, в том числе подходы по определению нормативных затрат на оказание государственных услуг в сфере здравоохранения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структура бюджетной системы Российской Федерации; </w:t>
            </w:r>
            <w:r/>
          </w:p>
          <w:p>
            <w:pPr>
              <w:ind w:firstLine="709"/>
              <w:jc w:val="both"/>
              <w:widowControl w:val="off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</w:rPr>
              <w:t xml:space="preserve">понятие бюджета и его социально-экономическая роль в обществе.</w:t>
            </w:r>
            <w:r/>
          </w:p>
        </w:tc>
        <w:tc>
          <w:tcPr>
            <w:shd w:val="clear" w:color="auto" w:fill="auto"/>
            <w:tcW w:w="367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5"/>
        <w:gridCol w:w="3572"/>
        <w:gridCol w:w="3634"/>
      </w:tblGrid>
      <w:tr>
        <w:trPr/>
        <w:tc>
          <w:tcPr>
            <w:shd w:val="clear" w:color="auto" w:fill="auto"/>
            <w:tcW w:w="2376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Функциональные</w:t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Знания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Умения</w:t>
            </w:r>
            <w:r/>
          </w:p>
        </w:tc>
      </w:tr>
      <w:tr>
        <w:trPr/>
        <w:tc>
          <w:tcPr>
            <w:shd w:val="clear" w:color="auto" w:fill="auto"/>
            <w:tcW w:w="237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понятие нормы права,  нормативного правового акта, правоотношений и их признаки;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взаимодействия в рамках внутриведомственного и межведомственного электронного документооборота</w:t>
            </w:r>
            <w:r/>
          </w:p>
          <w:p>
            <w:pPr>
              <w:pStyle w:val="652"/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нормы этики и делового общения;</w:t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методы бюджетного планирования;</w:t>
            </w:r>
            <w:r/>
          </w:p>
          <w:p>
            <w:pPr>
              <w:ind w:firstLine="709"/>
              <w:jc w:val="both"/>
              <w:rPr>
                <w:rFonts w:eastAsia="Calibri"/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функции и полномочия учредителя подведомственных организаций.</w:t>
            </w:r>
            <w:r/>
          </w:p>
        </w:tc>
        <w:tc>
          <w:tcPr>
            <w:shd w:val="clear" w:color="auto" w:fill="auto"/>
            <w:tcW w:w="4076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разработка, рассмотрение и согласование проектов нормативных правовых актов и других документов;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методических рекомендаций, разъяснений;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аналитических, информационных и других материалов;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прием, учет, обработка и регистрация </w:t>
            </w:r>
            <w:r>
              <w:rPr>
                <w:sz w:val="26"/>
                <w:szCs w:val="26"/>
              </w:rPr>
              <w:t xml:space="preserve">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обоснований бюджетных ассигнований на планируемый период для государственного органа; 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формирование проектов прогнозов по организации бюджетного процесса в государственном органе; </w:t>
            </w:r>
            <w:r/>
          </w:p>
          <w:p>
            <w:pPr>
              <w:contextualSpacing/>
              <w:ind w:firstLine="709"/>
              <w:jc w:val="both"/>
              <w:tabs>
                <w:tab w:val="left" w:pos="0" w:leader="none"/>
                <w:tab w:val="left" w:pos="709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телефонных разговоров;</w:t>
            </w:r>
            <w:r/>
          </w:p>
          <w:p>
            <w:pPr>
              <w:ind w:firstLine="709"/>
              <w:jc w:val="both"/>
              <w:rPr>
                <w:sz w:val="26"/>
                <w:szCs w:val="26"/>
                <w:lang w:eastAsia="en-US" w:bidi="en-US"/>
              </w:rPr>
              <w:outlineLvl w:val="0"/>
            </w:pPr>
            <w:r>
              <w:rPr>
                <w:sz w:val="26"/>
                <w:szCs w:val="26"/>
              </w:rPr>
              <w:t xml:space="preserve">организация подготовки разъяснений гражданам и организациям.</w:t>
            </w:r>
            <w:r/>
          </w:p>
        </w:tc>
      </w:tr>
    </w:tbl>
    <w:p>
      <w:pPr>
        <w:ind w:firstLine="709"/>
        <w:jc w:val="both"/>
        <w:tabs>
          <w:tab w:val="left" w:pos="993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Условия прохождения государственной гражданской службы</w:t>
      </w:r>
      <w:r>
        <w:rPr>
          <w:sz w:val="26"/>
          <w:szCs w:val="26"/>
        </w:rPr>
        <w:br/>
        <w:t xml:space="preserve">Костромской области на должност</w:t>
      </w:r>
      <w:r>
        <w:rPr>
          <w:sz w:val="26"/>
          <w:szCs w:val="26"/>
        </w:rPr>
        <w:t xml:space="preserve">ях</w:t>
      </w:r>
      <w:r>
        <w:rPr>
          <w:sz w:val="26"/>
          <w:szCs w:val="26"/>
        </w:rPr>
        <w:t xml:space="preserve">: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заместитель начальника </w:t>
      </w:r>
      <w:r>
        <w:rPr>
          <w:sz w:val="26"/>
          <w:szCs w:val="26"/>
        </w:rPr>
        <w:t xml:space="preserve">отдела анализа, прогнозирования и реализации программ развития здравоохранения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нормированный служебный день, командировки (0 %), заработная плата: </w:t>
      </w:r>
      <w:r>
        <w:rPr>
          <w:sz w:val="26"/>
          <w:szCs w:val="26"/>
        </w:rPr>
        <w:t xml:space="preserve">36 200-38 500;</w:t>
      </w:r>
      <w:r/>
    </w:p>
    <w:p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 xml:space="preserve">специалиста-эксперт</w:t>
      </w:r>
      <w:r>
        <w:rPr>
          <w:sz w:val="26"/>
          <w:szCs w:val="26"/>
        </w:rPr>
        <w:t xml:space="preserve"> отдела финансово-экономической деятельности</w:t>
      </w:r>
      <w:r>
        <w:rPr>
          <w:sz w:val="26"/>
          <w:szCs w:val="26"/>
        </w:rPr>
        <w:t xml:space="preserve"> нормированный служебный день, командировки (0 %), заработная </w:t>
      </w:r>
      <w:r>
        <w:rPr>
          <w:sz w:val="26"/>
          <w:szCs w:val="26"/>
        </w:rPr>
        <w:t xml:space="preserve">плата</w:t>
      </w:r>
      <w:r>
        <w:rPr>
          <w:sz w:val="26"/>
          <w:szCs w:val="26"/>
        </w:rPr>
        <w:t xml:space="preserve">: 25 600-27 000.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Прием документов осуществляется в течение 21 дня, </w:t>
      </w:r>
      <w:r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 xml:space="preserve">19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января</w:t>
      </w:r>
      <w:r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8 февраля</w:t>
      </w:r>
      <w:r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с 9.00</w:t>
      </w:r>
      <w:r>
        <w:rPr>
          <w:sz w:val="26"/>
          <w:szCs w:val="26"/>
        </w:rPr>
        <w:t xml:space="preserve"> до 18.00 (перерыв на обед с 13.00 до 14.00), кроме выходных (суббота и воскресенье) и праздничных дней по адресу: г. Кострома, ул. Свердлова, 129, 5 этаж, кабинет №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, контактный телефон (4942) 31-25-57.</w:t>
      </w:r>
      <w:r/>
    </w:p>
    <w:p>
      <w:pPr>
        <w:ind w:firstLine="720"/>
        <w:jc w:val="both"/>
        <w:tabs>
          <w:tab w:val="left" w:pos="102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</w:t>
      </w:r>
      <w:r>
        <w:rPr>
          <w:sz w:val="26"/>
          <w:szCs w:val="26"/>
        </w:rPr>
        <w:t xml:space="preserve">Участники конкурса представляют в отдел образования, правовой и</w:t>
      </w:r>
      <w:r>
        <w:rPr>
          <w:sz w:val="26"/>
          <w:szCs w:val="26"/>
        </w:rPr>
        <w:br/>
        <w:t xml:space="preserve">кадровой работы </w:t>
      </w:r>
      <w:r>
        <w:rPr>
          <w:sz w:val="26"/>
          <w:szCs w:val="26"/>
        </w:rPr>
        <w:t xml:space="preserve">департамента</w:t>
      </w:r>
      <w:r>
        <w:rPr>
          <w:sz w:val="26"/>
          <w:szCs w:val="26"/>
        </w:rPr>
        <w:t xml:space="preserve"> следующие документы: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личное заявление;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 заполненную и подписанную </w:t>
      </w:r>
      <w:hyperlink r:id="rId10" w:tooltip="consultantplus://offline/main?base=LAW;n=71834;fld=134;dst=100007" w:history="1">
        <w:r>
          <w:rPr>
            <w:sz w:val="26"/>
            <w:szCs w:val="26"/>
          </w:rPr>
          <w:t xml:space="preserve">анкету</w:t>
        </w:r>
      </w:hyperlink>
      <w:r>
        <w:rPr>
          <w:sz w:val="26"/>
          <w:szCs w:val="26"/>
        </w:rPr>
        <w:t xml:space="preserve"> по форме, утвержденной распоряжением Правительства Российской Федерации, с фотографией;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г) </w:t>
      </w:r>
      <w:r>
        <w:rPr>
          <w:sz w:val="26"/>
          <w:szCs w:val="26"/>
        </w:rPr>
        <w:t xml:space="preserve">документы, </w:t>
      </w:r>
      <w:r>
        <w:rPr>
          <w:bCs/>
          <w:sz w:val="26"/>
          <w:szCs w:val="26"/>
        </w:rPr>
        <w:t xml:space="preserve">подтверждающие необходимое профессиональное образование, квалификацию и стаж работы: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копию трудовой книжки, заверенну</w:t>
      </w:r>
      <w:r>
        <w:rPr>
          <w:color w:val="000000"/>
          <w:sz w:val="26"/>
          <w:szCs w:val="26"/>
        </w:rPr>
        <w:t xml:space="preserve">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 об образовании и о квалификации, а также по желанию гражданина Российской Федерации - ко</w:t>
      </w:r>
      <w:r>
        <w:rPr>
          <w:sz w:val="26"/>
          <w:szCs w:val="26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/>
    </w:p>
    <w:p>
      <w:pPr>
        <w:ind w:firstLine="709"/>
        <w:jc w:val="both"/>
        <w:tabs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д) документ об отсутствии у гражданина заболевания, препятствующего поступлению на гражданскую службу или ее прохождению: учетная </w:t>
      </w:r>
      <w:hyperlink r:id="rId11" w:tooltip="consultantplus://offline/main?base=LAW;n=96619;fld=134;dst=100279" w:history="1">
        <w:r>
          <w:rPr>
            <w:sz w:val="26"/>
            <w:szCs w:val="26"/>
          </w:rPr>
          <w:t xml:space="preserve">форма</w:t>
        </w:r>
        <w:r>
          <w:rPr>
            <w:sz w:val="26"/>
            <w:szCs w:val="26"/>
          </w:rPr>
          <w:br/>
          <w:t xml:space="preserve">№ 001-ГС/у</w:t>
        </w:r>
      </w:hyperlink>
      <w:r>
        <w:rPr>
          <w:sz w:val="26"/>
          <w:szCs w:val="26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  <w:r/>
    </w:p>
    <w:p>
      <w:pPr>
        <w:pStyle w:val="64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 </w:t>
      </w:r>
      <w:r>
        <w:rPr>
          <w:spacing w:val="-6"/>
          <w:sz w:val="26"/>
          <w:szCs w:val="26"/>
        </w:rPr>
        <w:t xml:space="preserve">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</w:t>
      </w:r>
      <w:r>
        <w:rPr>
          <w:spacing w:val="-6"/>
          <w:sz w:val="26"/>
          <w:szCs w:val="26"/>
        </w:rPr>
        <w:br/>
      </w:r>
      <w:r>
        <w:rPr>
          <w:spacing w:val="-6"/>
          <w:sz w:val="26"/>
          <w:szCs w:val="26"/>
        </w:rPr>
        <w:t xml:space="preserve">гражданской службе Российской Федерации» </w:t>
      </w:r>
      <w:r>
        <w:rPr>
          <w:sz w:val="26"/>
          <w:szCs w:val="26"/>
        </w:rPr>
        <w:t xml:space="preserve">(форма для представления сведений размещена на официальном сайте департамента здравоохранения Костромской области в сети Интернет в разделе «Кадровое обеспечение» </w:t>
      </w:r>
      <w:hyperlink r:id="rId12" w:tooltip="https://dzo44.ru/departament/o_departamente/kadrovoe_obespechenie" w:history="1">
        <w:r>
          <w:rPr>
            <w:rStyle w:val="643"/>
            <w:spacing w:val="-6"/>
            <w:sz w:val="26"/>
            <w:szCs w:val="26"/>
          </w:rPr>
          <w:t xml:space="preserve">https://dzo44.ru/departament/o_departamente/kadrovoe_obespechenie</w:t>
        </w:r>
      </w:hyperlink>
      <w:r>
        <w:rPr>
          <w:spacing w:val="-6"/>
          <w:sz w:val="26"/>
          <w:szCs w:val="26"/>
        </w:rPr>
        <w:t xml:space="preserve">);</w:t>
      </w:r>
      <w:r/>
    </w:p>
    <w:p>
      <w:pPr>
        <w:ind w:right="5" w:firstLine="709"/>
        <w:jc w:val="both"/>
        <w:spacing w:line="322" w:lineRule="exact"/>
        <w:tabs>
          <w:tab w:val="left" w:pos="1118" w:leader="none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ж)</w:t>
      </w: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 xml:space="preserve">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</w:t>
      </w:r>
      <w:r>
        <w:rPr>
          <w:sz w:val="26"/>
          <w:szCs w:val="26"/>
        </w:rPr>
        <w:t xml:space="preserve">и законами, указами Президента Российской Федерации</w:t>
      </w:r>
      <w:r>
        <w:rPr>
          <w:sz w:val="26"/>
          <w:szCs w:val="26"/>
        </w:rPr>
        <w:t xml:space="preserve"> и постановлениями Правительства Российской Федерации: страховое свидетельство обязательного пенсионного страхования;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  <w:r>
        <w:rPr>
          <w:sz w:val="26"/>
          <w:szCs w:val="26"/>
        </w:rPr>
        <w:t xml:space="preserve"> документы воинского учета и их копии – для</w:t>
      </w:r>
      <w:r>
        <w:rPr>
          <w:sz w:val="26"/>
          <w:szCs w:val="26"/>
        </w:rPr>
        <w:t xml:space="preserve"> военнообязанных и лиц, подлежащих призыву на военную службу;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</w:t>
      </w:r>
      <w:r>
        <w:rPr>
          <w:color w:val="000000"/>
          <w:sz w:val="26"/>
          <w:szCs w:val="26"/>
        </w:rP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Гражданин Российской Федерации вправе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  <w:r/>
    </w:p>
    <w:p>
      <w:pPr>
        <w:pStyle w:val="64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rStyle w:val="645"/>
          <w:sz w:val="26"/>
          <w:szCs w:val="26"/>
        </w:rPr>
        <w:t xml:space="preserve">Лица с ограниченными возможностями здоровья приглашаются для участия в конкурсе наряду с иными лицами</w:t>
      </w:r>
      <w:r>
        <w:rPr>
          <w:rStyle w:val="645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rStyle w:val="645"/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</w:t>
      </w:r>
      <w:r>
        <w:rPr>
          <w:sz w:val="26"/>
          <w:szCs w:val="26"/>
        </w:rPr>
        <w:t xml:space="preserve">размещена на официальном сайте департамента здравоохранения Костромской области в сети Интернет в разделе «Кадровое обеспечение» («</w:t>
      </w:r>
      <w:r>
        <w:rPr>
          <w:bCs/>
          <w:sz w:val="26"/>
          <w:szCs w:val="26"/>
        </w:rPr>
        <w:t xml:space="preserve">Информация для лиц с ограниченными возможностями здоровья, заинтересованных в поступлении на государственную гражданскую службу Костромской</w:t>
      </w:r>
      <w:r>
        <w:rPr>
          <w:bCs/>
          <w:sz w:val="26"/>
          <w:szCs w:val="26"/>
        </w:rPr>
        <w:t xml:space="preserve"> области»)</w:t>
      </w:r>
      <w:r>
        <w:rPr>
          <w:sz w:val="26"/>
          <w:szCs w:val="26"/>
        </w:rPr>
        <w:t xml:space="preserve">.</w:t>
      </w:r>
      <w:r/>
    </w:p>
    <w:p>
      <w:pPr>
        <w:ind w:right="5" w:firstLine="709"/>
        <w:jc w:val="both"/>
        <w:spacing w:line="322" w:lineRule="exact"/>
        <w:tabs>
          <w:tab w:val="left" w:pos="11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 Документы могут быть представлены в электронном виде с использованием ФГИС 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6"/>
          <w:szCs w:val="26"/>
        </w:rPr>
        <w:t xml:space="preserve">http://gossluzhba.gov.ru. Правила предста</w:t>
      </w:r>
      <w:r>
        <w:rPr>
          <w:sz w:val="26"/>
          <w:szCs w:val="26"/>
        </w:rPr>
        <w:t xml:space="preserve">вления документов в электронном виде утверждены постановлением Правительства Российской Федерации от 5 марта 2018 года № 227 и размещены на официальном сайте департамента здравоохранения Костромской области в сети «Интернет», раздел «Кадровое обеспечение».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 Гражданский служащий, изъявивший желание </w:t>
      </w:r>
      <w:r>
        <w:rPr>
          <w:sz w:val="26"/>
          <w:szCs w:val="26"/>
        </w:rPr>
        <w:t xml:space="preserve">участвовать в конкурсе в департаменте здравоохранения Костромской области, в котором он замещает должность гражданской службы, подает заявление на имя директора департамента здравоохранения Костромской области с просьбой о допуске его к участию в конкурсе.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Гражданский служащий федерального органа исполнительной власти, органа государственной вл</w:t>
      </w:r>
      <w:r>
        <w:rPr>
          <w:sz w:val="26"/>
          <w:szCs w:val="26"/>
        </w:rPr>
        <w:t xml:space="preserve">асти Костромской области или иного субъекта Российской Федерации, изъявивший желание участвовать в конкурсе, представляет в департамент здравоохранения Костромской области</w:t>
      </w:r>
      <w:r>
        <w:rPr>
          <w:i/>
          <w:sz w:val="26"/>
          <w:szCs w:val="26"/>
        </w:rPr>
        <w:t xml:space="preserve">: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на имя представителя нанимателя;</w:t>
      </w:r>
      <w:r/>
    </w:p>
    <w:p>
      <w:pPr>
        <w:ind w:right="10" w:firstLine="709"/>
        <w:jc w:val="both"/>
        <w:spacing w:line="322" w:lineRule="exact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2) 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форме, утвержденной Правительством Российской Федерации;</w:t>
      </w:r>
      <w:r/>
    </w:p>
    <w:p>
      <w:pPr>
        <w:ind w:right="10" w:firstLine="709"/>
        <w:jc w:val="both"/>
        <w:spacing w:line="322" w:lineRule="exact"/>
        <w:widowControl w:val="off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3) иные докумен</w:t>
      </w:r>
      <w:r>
        <w:rPr>
          <w:sz w:val="26"/>
          <w:szCs w:val="26"/>
        </w:rPr>
        <w:t xml:space="preserve">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правовыми актами Российской Федерации о государственной гражданской службе.</w:t>
      </w:r>
      <w:r/>
    </w:p>
    <w:p>
      <w:pPr>
        <w:ind w:right="10" w:firstLine="725"/>
        <w:jc w:val="both"/>
        <w:spacing w:line="322" w:lineRule="exact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 вправе представить дополнительные сведения, отражающие его достижения в профессиональной и общественной деятельности.</w:t>
      </w:r>
      <w:r/>
    </w:p>
    <w:p>
      <w:pPr>
        <w:ind w:firstLine="7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Предполагаемая дата проведения конкурса </w:t>
      </w:r>
      <w:r>
        <w:rPr>
          <w:b/>
          <w:sz w:val="26"/>
          <w:szCs w:val="26"/>
        </w:rPr>
        <w:t xml:space="preserve">27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февраля</w:t>
      </w:r>
      <w:r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10. </w:t>
      </w:r>
      <w:r>
        <w:rPr>
          <w:color w:val="000000"/>
          <w:sz w:val="26"/>
          <w:szCs w:val="26"/>
          <w:shd w:val="clear" w:color="auto" w:fill="ffffff"/>
        </w:rPr>
        <w:t xml:space="preserve">Сведения о методах оценки</w:t>
      </w:r>
      <w:r>
        <w:rPr>
          <w:color w:val="000000"/>
          <w:sz w:val="26"/>
          <w:szCs w:val="26"/>
        </w:rPr>
        <w:t xml:space="preserve"> профессиональных и личностных каче</w:t>
      </w:r>
      <w:r>
        <w:rPr>
          <w:color w:val="000000"/>
          <w:sz w:val="26"/>
          <w:szCs w:val="26"/>
        </w:rPr>
        <w:t xml:space="preserve">ств гр</w:t>
      </w:r>
      <w:r>
        <w:rPr>
          <w:color w:val="000000"/>
          <w:sz w:val="26"/>
          <w:szCs w:val="26"/>
        </w:rPr>
        <w:t xml:space="preserve">аждан (гражданских служащих).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в форме: 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предварительного индивидуального собеседования с руководителем структурного подразделения;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тестирования;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индивидуального собеседования с членами конкурсной комиссии.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подготовки к тестированию рекомендуется пройти </w:t>
      </w:r>
      <w:r>
        <w:rPr>
          <w:sz w:val="26"/>
          <w:szCs w:val="26"/>
        </w:rPr>
        <w:t xml:space="preserve">предварительные </w:t>
      </w:r>
      <w:r>
        <w:rPr>
          <w:sz w:val="26"/>
          <w:szCs w:val="26"/>
        </w:rPr>
        <w:t xml:space="preserve">тесты для самопроверки (на знание Конституции Росс</w:t>
      </w:r>
      <w:r>
        <w:rPr>
          <w:sz w:val="26"/>
          <w:szCs w:val="26"/>
        </w:rPr>
        <w:t xml:space="preserve">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в </w:t>
      </w:r>
      <w:r>
        <w:rPr>
          <w:color w:val="000000"/>
          <w:sz w:val="26"/>
          <w:szCs w:val="26"/>
          <w:shd w:val="clear" w:color="auto" w:fill="ffffff"/>
        </w:rPr>
        <w:t xml:space="preserve">ФГИС </w:t>
      </w:r>
      <w:r>
        <w:rPr>
          <w:rFonts w:eastAsia="Calibri"/>
          <w:sz w:val="26"/>
          <w:szCs w:val="26"/>
          <w:lang w:eastAsia="en-US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r>
        <w:rPr>
          <w:sz w:val="26"/>
          <w:szCs w:val="26"/>
        </w:rPr>
        <w:t xml:space="preserve">в разделе «Профессиональное развитие» </w:t>
      </w:r>
      <w:hyperlink r:id="rId13" w:tooltip="http://gossluzhba.gov.ru" w:history="1">
        <w:r>
          <w:rPr>
            <w:rStyle w:val="643"/>
            <w:sz w:val="26"/>
            <w:szCs w:val="26"/>
          </w:rPr>
          <w:t xml:space="preserve">http://gossluzhba</w:t>
        </w:r>
        <w:r>
          <w:rPr>
            <w:rStyle w:val="643"/>
            <w:sz w:val="26"/>
            <w:szCs w:val="26"/>
          </w:rPr>
          <w:t xml:space="preserve">.gov.ru</w:t>
        </w:r>
      </w:hyperlink>
      <w:r>
        <w:rPr>
          <w:sz w:val="26"/>
          <w:szCs w:val="26"/>
        </w:rPr>
        <w:t xml:space="preserve">. 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1. Контактное лицо: </w:t>
      </w:r>
      <w:r>
        <w:rPr>
          <w:sz w:val="26"/>
          <w:szCs w:val="26"/>
        </w:rPr>
        <w:t xml:space="preserve">Федорова Елена Николаевна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консультант</w:t>
      </w:r>
      <w:r>
        <w:rPr>
          <w:sz w:val="26"/>
          <w:szCs w:val="26"/>
        </w:rPr>
        <w:t xml:space="preserve"> отдела образования, правовой и кадровой работы.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справок: (4942) 31-25-57;</w:t>
      </w:r>
      <w:r/>
    </w:p>
    <w:p>
      <w:pPr>
        <w:ind w:firstLine="725"/>
        <w:jc w:val="both"/>
        <w:spacing w:line="322" w:lineRule="exact"/>
        <w:widowControl w:val="off"/>
        <w:tabs>
          <w:tab w:val="left" w:pos="102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4" w:tooltip="mailto:fedorovaen@dzo44.ru" w:history="1">
        <w:r>
          <w:rPr>
            <w:rStyle w:val="643"/>
            <w:sz w:val="26"/>
            <w:szCs w:val="26"/>
            <w:lang w:val="en-US"/>
          </w:rPr>
          <w:t xml:space="preserve">fedorovaen</w:t>
        </w:r>
        <w:r>
          <w:rPr>
            <w:rStyle w:val="643"/>
            <w:sz w:val="26"/>
            <w:szCs w:val="26"/>
          </w:rPr>
          <w:t xml:space="preserve">@</w:t>
        </w:r>
        <w:r>
          <w:rPr>
            <w:rStyle w:val="643"/>
            <w:sz w:val="26"/>
            <w:szCs w:val="26"/>
            <w:lang w:val="en-US"/>
          </w:rPr>
          <w:t xml:space="preserve">dzo</w:t>
        </w:r>
        <w:r>
          <w:rPr>
            <w:rStyle w:val="643"/>
            <w:sz w:val="26"/>
            <w:szCs w:val="26"/>
          </w:rPr>
          <w:t xml:space="preserve">44.</w:t>
        </w:r>
        <w:r>
          <w:rPr>
            <w:rStyle w:val="643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.</w:t>
      </w:r>
      <w:r/>
    </w:p>
    <w:p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 w:clear="all"/>
      </w:r>
      <w:r/>
    </w:p>
    <w:p>
      <w:pPr>
        <w:ind w:left="0" w:right="0" w:firstLine="0"/>
        <w:jc w:val="center"/>
        <w:spacing w:line="322" w:lineRule="exact"/>
        <w:widowControl w:val="off"/>
        <w:tabs>
          <w:tab w:val="left" w:pos="102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ДОЛЖНОСТНЫЕ ОБЯЗАННОСТИ, ПРАВА И ОТВЕТСТВЕННОСТЬ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государственного гражданского служащего Костромской области,</w:t>
      </w:r>
      <w:r/>
    </w:p>
    <w:p>
      <w:pPr>
        <w:pStyle w:val="6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замещающего</w:t>
      </w:r>
      <w:r>
        <w:rPr>
          <w:b/>
          <w:sz w:val="24"/>
          <w:szCs w:val="24"/>
        </w:rPr>
        <w:t xml:space="preserve"> должность государственной гражданской службы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Костромской </w:t>
      </w:r>
      <w:r>
        <w:rPr>
          <w:b/>
          <w:sz w:val="26"/>
          <w:szCs w:val="26"/>
        </w:rPr>
        <w:t xml:space="preserve">области заместителя начальника отдела анализа, прогнозирования и реализации программ развития здравоохранения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5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консультанта, а также ограничения, запреты и требования к служебному поведению, установлены статьями 14 - 18 Федерального закона от 27 июля 2004 г. № 79-ФЗ «О государственной гражданской службе Российской Федерации».</w:t>
      </w:r>
      <w:r/>
    </w:p>
    <w:p>
      <w:pPr>
        <w:pStyle w:val="65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59"/>
        <w:numPr>
          <w:ilvl w:val="0"/>
          <w:numId w:val="16"/>
        </w:numPr>
        <w:ind w:left="0" w:right="0"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руководить деятельностью подчиненных ему гражданских служащих;</w:t>
      </w:r>
      <w:r/>
    </w:p>
    <w:p>
      <w:pPr>
        <w:pStyle w:val="659"/>
        <w:numPr>
          <w:ilvl w:val="0"/>
          <w:numId w:val="16"/>
        </w:numPr>
        <w:ind w:left="0" w:right="0"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деятельность отдела в соответствии с функциями, возложенными на отдел;</w:t>
      </w:r>
      <w:r/>
    </w:p>
    <w:p>
      <w:pPr>
        <w:numPr>
          <w:ilvl w:val="0"/>
          <w:numId w:val="16"/>
        </w:numPr>
        <w:ind w:left="0" w:firstLine="71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участвовать в работе комиссий и иных коллегиальных органов по вопросам, входящим в компетенцию отдела;</w:t>
      </w:r>
      <w:r/>
    </w:p>
    <w:p>
      <w:pPr>
        <w:numPr>
          <w:ilvl w:val="0"/>
          <w:numId w:val="16"/>
        </w:numPr>
        <w:ind w:left="0" w:firstLine="71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участвовать  в совещаниях, заседаниях и иных мероприятиях по вопросам, входящим в компетенцию отдела;</w:t>
      </w:r>
      <w:r/>
    </w:p>
    <w:p>
      <w:pPr>
        <w:pStyle w:val="659"/>
        <w:numPr>
          <w:ilvl w:val="0"/>
          <w:numId w:val="16"/>
        </w:numPr>
        <w:ind w:left="0" w:firstLine="710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участвовать  в проведении проверок деятельности подведомственных учреждений по вопросам компетенции отдела;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проектов соглашения между Министерством здравоохранения   РФ и Костромской областью по реализации основных направлений деятельности отдела;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взаимодействовать с территориальным фондом обязательного медицинского страхования Костромской области по реализации выполнения государственной программы «Развитие здравоохранения Костромской области до 2020 года».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аналитических материалов по реализации государственной программы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проектов постановлений администрации Костромской области о внесении изменений в государственную программу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проектов законов Костромской области, постановлений и распоряжений г</w:t>
      </w:r>
      <w:r>
        <w:rPr>
          <w:sz w:val="24"/>
          <w:szCs w:val="24"/>
        </w:rPr>
        <w:t xml:space="preserve">убернатора Костромской области, постановлений и распоряжений администрации Костромской области в соответствии с федеральными нормативными документами в рамках реализации государственной программы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оценку эффективности реализации государственной программы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подготовку, организацию и проведение мероприятий                 государственной программы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работу со средствами массовой информации в целях освещения результатов реализации программы «Развитие здравоохранения Костромской области до 2020 года»;</w:t>
      </w:r>
      <w:r/>
    </w:p>
    <w:p>
      <w:pPr>
        <w:numPr>
          <w:ilvl w:val="0"/>
          <w:numId w:val="16"/>
        </w:numPr>
        <w:ind w:left="0" w:firstLine="71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выполнением мероприятий государственной программы «Развитие здравоохранения Костромской области до 2020 года», обеспечивать ведение отчетности и ее предоставление соответствующим органам государственной власти;</w:t>
      </w:r>
      <w:r/>
    </w:p>
    <w:p>
      <w:pPr>
        <w:numPr>
          <w:ilvl w:val="0"/>
          <w:numId w:val="16"/>
        </w:numPr>
        <w:ind w:left="0" w:firstLine="71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документов для передачи поступившего имущества из федеральной собственности в областную собственность;</w:t>
      </w:r>
      <w:r/>
    </w:p>
    <w:p>
      <w:pPr>
        <w:numPr>
          <w:ilvl w:val="0"/>
          <w:numId w:val="16"/>
        </w:numPr>
        <w:ind w:left="0" w:firstLine="71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составлять заявки на централизованную поставку лекарственных </w:t>
      </w:r>
      <w:r>
        <w:rPr>
          <w:sz w:val="24"/>
          <w:szCs w:val="24"/>
        </w:rPr>
        <w:t xml:space="preserve">препаратов, определенных постановлениями Правительства Российской Федерации, для лечения больных туберкулёзом;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размещение в программно-аппара</w:t>
      </w:r>
      <w:r>
        <w:rPr>
          <w:sz w:val="24"/>
          <w:szCs w:val="24"/>
        </w:rPr>
        <w:t xml:space="preserve">тном комплексе информации о поступивших лекарственных средствах, оборудовании,  сведений об использовании средств федерального и областного бюджетов в  рамках реализации государственной программы «Развитие здравоохранения Костромской области до 2020 года»;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осуществлять анализ привлечения средств федерального бюджета  в рамках государственной программы «Развитие здравоохранения до 2020 года»;</w:t>
      </w:r>
      <w:r/>
    </w:p>
    <w:p>
      <w:pPr>
        <w:numPr>
          <w:ilvl w:val="0"/>
          <w:numId w:val="16"/>
        </w:numPr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разработке национальных проектов и входящих в их состав федеральных проектов, региональных проектов в пределах компетенции;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предоставлять отчетность по реализации основных направлений деятельности отдела;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представлять информацию по вопросам установленной сферы деятельности отдела для размещения в средствах массовой информации и сети Интернет;</w:t>
      </w:r>
      <w:r/>
    </w:p>
    <w:p>
      <w:pPr>
        <w:pStyle w:val="663"/>
        <w:numPr>
          <w:ilvl w:val="0"/>
          <w:numId w:val="16"/>
        </w:numPr>
        <w:ind w:left="0" w:firstLine="710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выполнение работы по формированию электронных баз данных в установленной сфере деятельности;</w:t>
      </w:r>
      <w:r/>
    </w:p>
    <w:p>
      <w:pPr>
        <w:pStyle w:val="661"/>
        <w:numPr>
          <w:ilvl w:val="0"/>
          <w:numId w:val="16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своевременное и полное рассмотрение письменных и устных обращений юридиче</w:t>
      </w:r>
      <w:r>
        <w:rPr>
          <w:rFonts w:ascii="Times New Roman" w:hAnsi="Times New Roman"/>
          <w:sz w:val="24"/>
          <w:szCs w:val="24"/>
        </w:rPr>
        <w:t xml:space="preserve">ских лиц и граждан, подготовку проектов решений по ним и направлению ответов заявителям в установленный законодательством срок в соответствии с Федеральным законом от 02 мая 2006 года № 59-ФЗ «О порядке рассмотрения обращений граждан Российской Федерации».</w:t>
      </w:r>
      <w:r/>
    </w:p>
    <w:p>
      <w:pPr>
        <w:pStyle w:val="65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Права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pStyle w:val="655"/>
        <w:ind w:left="0" w:firstLine="709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основные права гражданского служащего, замещающего должность гражданской службы, регулируются статьей 14 Федерального закона от 27 июля 2004 года № 79-ФЗ «О государственной гражданской службе Российской Федерации».</w:t>
      </w:r>
      <w:r/>
    </w:p>
    <w:p>
      <w:pPr>
        <w:pStyle w:val="655"/>
        <w:ind w:left="0" w:firstLine="709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Кроме того, гражданский служащий, замещающий должность гражданской службы, имеет право: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представлять департамент здрав</w:t>
      </w:r>
      <w:r>
        <w:rPr>
          <w:sz w:val="24"/>
          <w:szCs w:val="24"/>
        </w:rPr>
        <w:t xml:space="preserve">оохранения в соответствующих структурных подразделениях администрации области, областной Думы, органах местного самоуправления, Министерстве здравоохранения РФ, органах управления здравоохранением субъектов РФ по вопросам, относящимся к компетенции отдела;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получать в установленном порядке от структурных подразделений департамента здравоохранения, учреждений здравоохран</w:t>
      </w:r>
      <w:r>
        <w:rPr>
          <w:sz w:val="24"/>
          <w:szCs w:val="24"/>
        </w:rPr>
        <w:t xml:space="preserve">ения и образования, органов местного самоуправления,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своих должностных обязанностей;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осуществл</w:t>
      </w:r>
      <w:r>
        <w:rPr>
          <w:sz w:val="24"/>
          <w:szCs w:val="24"/>
        </w:rPr>
        <w:t xml:space="preserve">ять контроль (проверку) подведомственных учреждений здравоохранения и образования области в соответствии с законодательством по вопросам, относящимся к компетенции отдела, а также докладывать директору департамента здравоохранения о выявленных недостатках;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вносить предложения по совершенствованию работы отдела, структурных подразделений, департамента в целом по вопросам своей компетенции;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вносить предложения о поощрениях и взысканиях работников  департамента здравоохранения и подведомственных учреждений; </w:t>
      </w:r>
      <w:r/>
    </w:p>
    <w:p>
      <w:pPr>
        <w:pStyle w:val="655"/>
        <w:ind w:left="0" w:firstLine="709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  <w:lang w:val="ru-RU"/>
        </w:rPr>
        <w:t xml:space="preserve">Ответственность: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 </w:t>
      </w:r>
      <w:r/>
    </w:p>
    <w:p>
      <w:pPr>
        <w:pStyle w:val="653"/>
        <w:ind w:left="0" w:right="0" w:firstLine="709"/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Гражданский служащий, замещающий должность гражданской службы, несет предусмотренную законодательством ответственность </w:t>
      </w:r>
      <w:r>
        <w:rPr>
          <w:color w:val="000000"/>
          <w:sz w:val="24"/>
          <w:szCs w:val="24"/>
          <w:highlight w:val="white"/>
        </w:rPr>
        <w:t xml:space="preserve">за</w:t>
      </w:r>
      <w:r>
        <w:rPr>
          <w:color w:val="000000"/>
          <w:sz w:val="24"/>
          <w:szCs w:val="24"/>
          <w:highlight w:val="white"/>
        </w:rPr>
        <w:t xml:space="preserve">:</w:t>
      </w:r>
      <w:r/>
    </w:p>
    <w:p>
      <w:pPr>
        <w:pStyle w:val="65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неисполнение или ненадлежащее исполнение возложенных на него должностных обязанностей;</w:t>
      </w:r>
      <w:r/>
    </w:p>
    <w:p>
      <w:pPr>
        <w:pStyle w:val="65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/>
    </w:p>
    <w:p>
      <w:pPr>
        <w:pStyle w:val="65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действия или бездействие, ведущие к нарушению прав и законных интересов граждан и организаций;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разглашение или использование в целях, не связанных с гражданской службой,</w:t>
      </w:r>
      <w:r>
        <w:rPr>
          <w:rFonts w:ascii="Times New Roman" w:hAnsi="Times New Roman"/>
          <w:sz w:val="24"/>
          <w:szCs w:val="24"/>
        </w:rPr>
        <w:t xml:space="preserve"> сведений, отнесенных в соответствии с федеральным законом к сведениям конфиденциального характера, или служебной информации, ставшей ему известной в связи с исполнением должностных обязанностей;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за несоблюдение установленного режима обработки информации ограниченного доступа и иной информации конфиденциального характера.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Эффективность и результативность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профессиональной служебной деятельности гражданского служащего, замещающего должность гражданской службы,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определяются по результатам его профессиональной служебной деятельности в порядке, устанавливаемом губернатором Костромской области, по следующим показателям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объем и качество выполняемых работ;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своевременность и оперативность выполнения поручений;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профессиональная компетентность;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творческий подход к решению поставленных задач;</w:t>
      </w:r>
      <w:r/>
    </w:p>
    <w:p>
      <w:pPr>
        <w:pStyle w:val="65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соблюдение служебной дисциплины.</w:t>
      </w:r>
      <w:r/>
    </w:p>
    <w:p>
      <w:pPr>
        <w:ind w:firstLine="725"/>
        <w:jc w:val="both"/>
        <w:spacing w:line="322" w:lineRule="exact"/>
        <w:widowControl w:val="off"/>
        <w:tabs>
          <w:tab w:val="left" w:pos="1022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8"/>
      <w:numFmt w:val="decimal"/>
      <w:isLgl w:val="false"/>
      <w:suff w:val="tab"/>
      <w:lvlText w:val="%1)"/>
      <w:lvlJc w:val="left"/>
      <w:pPr>
        <w:ind w:left="1100" w:hanging="39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7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32"/>
    <w:link w:val="63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0"/>
    <w:next w:val="63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0"/>
    <w:next w:val="6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0"/>
    <w:next w:val="63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0"/>
    <w:next w:val="6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0"/>
    <w:next w:val="6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0"/>
    <w:next w:val="63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0"/>
    <w:next w:val="6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0"/>
    <w:next w:val="6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30"/>
    <w:next w:val="6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2"/>
    <w:link w:val="33"/>
    <w:uiPriority w:val="10"/>
    <w:rPr>
      <w:sz w:val="48"/>
      <w:szCs w:val="48"/>
    </w:rPr>
  </w:style>
  <w:style w:type="paragraph" w:styleId="35">
    <w:name w:val="Subtitle"/>
    <w:basedOn w:val="630"/>
    <w:next w:val="6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2"/>
    <w:link w:val="35"/>
    <w:uiPriority w:val="11"/>
    <w:rPr>
      <w:sz w:val="24"/>
      <w:szCs w:val="24"/>
    </w:rPr>
  </w:style>
  <w:style w:type="paragraph" w:styleId="37">
    <w:name w:val="Quote"/>
    <w:basedOn w:val="630"/>
    <w:next w:val="6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0"/>
    <w:next w:val="6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2"/>
    <w:link w:val="41"/>
    <w:uiPriority w:val="99"/>
  </w:style>
  <w:style w:type="paragraph" w:styleId="43">
    <w:name w:val="Footer"/>
    <w:basedOn w:val="63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2"/>
    <w:link w:val="43"/>
    <w:uiPriority w:val="99"/>
  </w:style>
  <w:style w:type="paragraph" w:styleId="45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2"/>
    <w:uiPriority w:val="99"/>
    <w:unhideWhenUsed/>
    <w:rPr>
      <w:vertAlign w:val="superscript"/>
    </w:rPr>
  </w:style>
  <w:style w:type="paragraph" w:styleId="177">
    <w:name w:val="endnote text"/>
    <w:basedOn w:val="6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2"/>
    <w:uiPriority w:val="99"/>
    <w:semiHidden/>
    <w:unhideWhenUsed/>
    <w:rPr>
      <w:vertAlign w:val="superscript"/>
    </w:rPr>
  </w:style>
  <w:style w:type="paragraph" w:styleId="18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1">
    <w:name w:val="Heading 1"/>
    <w:basedOn w:val="630"/>
    <w:next w:val="630"/>
    <w:link w:val="657"/>
    <w:qFormat/>
    <w:pPr>
      <w:keepNext/>
      <w:outlineLvl w:val="0"/>
    </w:pPr>
    <w:rPr>
      <w:sz w:val="28"/>
      <w:szCs w:val="24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Body Text Indent"/>
    <w:basedOn w:val="630"/>
    <w:link w:val="636"/>
    <w:uiPriority w:val="99"/>
    <w:pPr>
      <w:ind w:left="283"/>
      <w:spacing w:after="120"/>
    </w:pPr>
  </w:style>
  <w:style w:type="character" w:styleId="636" w:customStyle="1">
    <w:name w:val="Основной текст с отступом Знак"/>
    <w:basedOn w:val="632"/>
    <w:link w:val="63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7" w:customStyle="1">
    <w:name w:val="Doc-Т внутри нумерации Знак"/>
    <w:link w:val="638"/>
    <w:uiPriority w:val="99"/>
  </w:style>
  <w:style w:type="paragraph" w:styleId="638" w:customStyle="1">
    <w:name w:val="Doc-Т внутри нумерации"/>
    <w:basedOn w:val="630"/>
    <w:link w:val="637"/>
    <w:uiPriority w:val="99"/>
    <w:pPr>
      <w:ind w:left="720" w:firstLine="709"/>
      <w:jc w:val="both"/>
      <w:spacing w:line="360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39" w:customStyle="1">
    <w:name w:val="Style2"/>
    <w:basedOn w:val="630"/>
    <w:uiPriority w:val="99"/>
    <w:pPr>
      <w:ind w:firstLine="355"/>
      <w:spacing w:line="274" w:lineRule="exact"/>
      <w:widowControl w:val="off"/>
    </w:pPr>
    <w:rPr>
      <w:sz w:val="24"/>
      <w:szCs w:val="24"/>
    </w:rPr>
  </w:style>
  <w:style w:type="character" w:styleId="640" w:customStyle="1">
    <w:name w:val="Font Style20"/>
    <w:uiPriority w:val="99"/>
    <w:rPr>
      <w:rFonts w:ascii="Times New Roman" w:hAnsi="Times New Roman" w:cs="Times New Roman"/>
      <w:sz w:val="22"/>
      <w:szCs w:val="22"/>
    </w:rPr>
  </w:style>
  <w:style w:type="paragraph" w:styleId="641" w:customStyle="1">
    <w:name w:val="Style3"/>
    <w:basedOn w:val="630"/>
    <w:uiPriority w:val="99"/>
    <w:pPr>
      <w:spacing w:line="276" w:lineRule="exact"/>
      <w:widowControl w:val="off"/>
    </w:pPr>
    <w:rPr>
      <w:sz w:val="24"/>
      <w:szCs w:val="24"/>
    </w:rPr>
  </w:style>
  <w:style w:type="paragraph" w:styleId="642" w:customStyle="1">
    <w:name w:val="Style6"/>
    <w:basedOn w:val="630"/>
    <w:uiPriority w:val="99"/>
    <w:pPr>
      <w:jc w:val="both"/>
      <w:spacing w:line="276" w:lineRule="exact"/>
      <w:widowControl w:val="off"/>
    </w:pPr>
    <w:rPr>
      <w:sz w:val="24"/>
      <w:szCs w:val="24"/>
    </w:rPr>
  </w:style>
  <w:style w:type="character" w:styleId="643">
    <w:name w:val="Hyperlink"/>
    <w:rPr>
      <w:color w:val="0000ff"/>
      <w:u w:val="single"/>
    </w:rPr>
  </w:style>
  <w:style w:type="paragraph" w:styleId="64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 w:bidi="lo-LA"/>
    </w:rPr>
  </w:style>
  <w:style w:type="character" w:styleId="645" w:customStyle="1">
    <w:name w:val="normaltextrun"/>
  </w:style>
  <w:style w:type="paragraph" w:styleId="646">
    <w:name w:val="Normal (Web)"/>
    <w:basedOn w:val="63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47" w:customStyle="1">
    <w:name w:val="Основной текст 21"/>
    <w:basedOn w:val="630"/>
    <w:rPr>
      <w:sz w:val="28"/>
      <w:lang w:eastAsia="ar-SA"/>
    </w:rPr>
  </w:style>
  <w:style w:type="paragraph" w:styleId="648">
    <w:name w:val="Balloon Text"/>
    <w:basedOn w:val="630"/>
    <w:link w:val="649"/>
    <w:uiPriority w:val="99"/>
    <w:semiHidden/>
    <w:unhideWhenUsed/>
    <w:rPr>
      <w:rFonts w:ascii="Tahoma" w:hAnsi="Tahoma" w:cs="Tahoma"/>
      <w:sz w:val="16"/>
      <w:szCs w:val="16"/>
    </w:rPr>
  </w:style>
  <w:style w:type="character" w:styleId="649" w:customStyle="1">
    <w:name w:val="Текст выноски Знак"/>
    <w:basedOn w:val="632"/>
    <w:link w:val="6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0" w:customStyle="1">
    <w:name w:val="ConsPlusNormal"/>
    <w:link w:val="651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651" w:customStyle="1">
    <w:name w:val="ConsPlusNormal Знак"/>
    <w:link w:val="650"/>
    <w:rPr>
      <w:rFonts w:ascii="Calibri" w:hAnsi="Calibri" w:eastAsia="Times New Roman" w:cs="Calibri"/>
      <w:szCs w:val="20"/>
      <w:lang w:eastAsia="ru-RU"/>
    </w:rPr>
  </w:style>
  <w:style w:type="paragraph" w:styleId="652">
    <w:name w:val="No Spacing"/>
    <w:link w:val="666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3">
    <w:name w:val="Body Text Indent 2"/>
    <w:basedOn w:val="630"/>
    <w:link w:val="654"/>
    <w:uiPriority w:val="99"/>
    <w:semiHidden/>
    <w:unhideWhenUsed/>
    <w:pPr>
      <w:ind w:left="283"/>
      <w:spacing w:after="120" w:line="480" w:lineRule="auto"/>
    </w:pPr>
  </w:style>
  <w:style w:type="character" w:styleId="654" w:customStyle="1">
    <w:name w:val="Основной текст с отступом 2 Знак"/>
    <w:basedOn w:val="632"/>
    <w:link w:val="65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5">
    <w:name w:val="List Paragraph"/>
    <w:basedOn w:val="630"/>
    <w:link w:val="656"/>
    <w:pPr>
      <w:contextualSpacing/>
      <w:ind w:left="720"/>
      <w:jc w:val="both"/>
      <w:spacing w:after="20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656" w:customStyle="1">
    <w:name w:val="Абзац списка Знак"/>
    <w:link w:val="655"/>
    <w:rPr>
      <w:rFonts w:ascii="Calibri" w:hAnsi="Calibri" w:eastAsia="Calibri" w:cs="Times New Roman"/>
      <w:lang w:val="en-US"/>
    </w:rPr>
  </w:style>
  <w:style w:type="character" w:styleId="657" w:customStyle="1">
    <w:name w:val="Заголовок 1 Знак"/>
    <w:basedOn w:val="632"/>
    <w:link w:val="631"/>
    <w:rPr>
      <w:rFonts w:ascii="Times New Roman" w:hAnsi="Times New Roman" w:eastAsia="Times New Roman" w:cs="Times New Roman"/>
      <w:sz w:val="28"/>
      <w:szCs w:val="24"/>
    </w:rPr>
  </w:style>
  <w:style w:type="paragraph" w:styleId="658" w:customStyle="1">
    <w:name w:val="Абзац списка1"/>
    <w:basedOn w:val="630"/>
    <w:pPr>
      <w:ind w:left="720"/>
      <w:jc w:val="both"/>
    </w:pPr>
    <w:rPr>
      <w:rFonts w:ascii="Calibri" w:hAnsi="Calibri" w:eastAsia="Calibri"/>
      <w:sz w:val="24"/>
      <w:szCs w:val="22"/>
    </w:rPr>
  </w:style>
  <w:style w:type="paragraph" w:styleId="659">
    <w:name w:val="Body Text"/>
    <w:basedOn w:val="630"/>
    <w:link w:val="660"/>
    <w:uiPriority w:val="99"/>
    <w:semiHidden/>
    <w:unhideWhenUsed/>
    <w:pPr>
      <w:spacing w:after="120"/>
    </w:pPr>
  </w:style>
  <w:style w:type="character" w:styleId="660" w:customStyle="1">
    <w:name w:val="Основной текст Знак"/>
    <w:basedOn w:val="632"/>
    <w:link w:val="65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1">
    <w:name w:val="Plain Text"/>
    <w:basedOn w:val="630"/>
    <w:link w:val="662"/>
    <w:rPr>
      <w:rFonts w:ascii="Courier New" w:hAnsi="Courier New"/>
    </w:rPr>
  </w:style>
  <w:style w:type="character" w:styleId="662" w:customStyle="1">
    <w:name w:val="Текст Знак"/>
    <w:basedOn w:val="632"/>
    <w:link w:val="661"/>
    <w:rPr>
      <w:rFonts w:ascii="Courier New" w:hAnsi="Courier New" w:eastAsia="Times New Roman" w:cs="Times New Roman"/>
      <w:sz w:val="20"/>
      <w:szCs w:val="20"/>
    </w:rPr>
  </w:style>
  <w:style w:type="paragraph" w:styleId="663">
    <w:name w:val="Body Text 2"/>
    <w:basedOn w:val="630"/>
    <w:link w:val="664"/>
    <w:uiPriority w:val="99"/>
    <w:semiHidden/>
    <w:unhideWhenUsed/>
    <w:pPr>
      <w:spacing w:after="120" w:line="480" w:lineRule="auto"/>
    </w:pPr>
  </w:style>
  <w:style w:type="character" w:styleId="664" w:customStyle="1">
    <w:name w:val="Основной текст 2 Знак"/>
    <w:basedOn w:val="632"/>
    <w:link w:val="6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5" w:customStyle="1">
    <w:name w:val="Обычный1"/>
    <w:pPr>
      <w:ind w:firstLine="72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6" w:customStyle="1">
    <w:name w:val="Без интервала Знак"/>
    <w:link w:val="652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main?base=LAW;n=71834;fld=134;dst=100007" TargetMode="External"/><Relationship Id="rId11" Type="http://schemas.openxmlformats.org/officeDocument/2006/relationships/hyperlink" Target="consultantplus://offline/main?base=LAW;n=96619;fld=134;dst=100279" TargetMode="External"/><Relationship Id="rId12" Type="http://schemas.openxmlformats.org/officeDocument/2006/relationships/hyperlink" Target="https://dzo44.ru/departament/o_departamente/kadrovoe_obespechenie" TargetMode="External"/><Relationship Id="rId13" Type="http://schemas.openxmlformats.org/officeDocument/2006/relationships/hyperlink" Target="http://gossluzhba.gov.ru" TargetMode="External"/><Relationship Id="rId14" Type="http://schemas.openxmlformats.org/officeDocument/2006/relationships/hyperlink" Target="mailto:fedorovaen@dzo44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A5D6-1DB3-43EB-A75A-A2470667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revision>19</cp:revision>
  <dcterms:created xsi:type="dcterms:W3CDTF">2022-04-13T09:03:00Z</dcterms:created>
  <dcterms:modified xsi:type="dcterms:W3CDTF">2023-01-19T09:48:45Z</dcterms:modified>
</cp:coreProperties>
</file>